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44"/>
          <w:szCs w:val="44"/>
          <w:lang w:val="en-US" w:eastAsia="zh-CN"/>
        </w:rPr>
      </w:pPr>
      <w:r>
        <w:rPr>
          <w:rFonts w:hint="eastAsia" w:asciiTheme="minorEastAsia" w:hAnsiTheme="minorEastAsia" w:eastAsiaTheme="minorEastAsia" w:cstheme="minorEastAsia"/>
          <w:b/>
          <w:bCs/>
          <w:sz w:val="44"/>
          <w:szCs w:val="44"/>
          <w:lang w:val="en-US" w:eastAsia="zh-CN"/>
        </w:rPr>
        <w:t>丽水职业技术学院</w:t>
      </w:r>
    </w:p>
    <w:p>
      <w:pPr>
        <w:jc w:val="center"/>
        <w:rPr>
          <w:rFonts w:hint="eastAsia" w:asciiTheme="minorEastAsia" w:hAnsiTheme="minorEastAsia" w:eastAsiaTheme="minorEastAsia" w:cstheme="minorEastAsia"/>
          <w:b/>
          <w:bCs/>
          <w:sz w:val="44"/>
          <w:szCs w:val="44"/>
          <w:lang w:val="en-US" w:eastAsia="zh-CN"/>
        </w:rPr>
      </w:pPr>
      <w:r>
        <w:rPr>
          <w:rFonts w:hint="eastAsia" w:asciiTheme="minorEastAsia" w:hAnsiTheme="minorEastAsia" w:eastAsiaTheme="minorEastAsia" w:cstheme="minorEastAsia"/>
          <w:b/>
          <w:bCs/>
          <w:sz w:val="44"/>
          <w:szCs w:val="44"/>
          <w:lang w:val="en-US" w:eastAsia="zh-CN"/>
        </w:rPr>
        <w:t>电瓶车充电设备服务</w:t>
      </w:r>
      <w:bookmarkStart w:id="0" w:name="_GoBack"/>
      <w:r>
        <w:rPr>
          <w:rFonts w:hint="eastAsia" w:asciiTheme="minorEastAsia" w:hAnsiTheme="minorEastAsia" w:eastAsiaTheme="minorEastAsia" w:cstheme="minorEastAsia"/>
          <w:b/>
          <w:bCs/>
          <w:sz w:val="44"/>
          <w:szCs w:val="44"/>
          <w:lang w:val="en-US" w:eastAsia="zh-CN"/>
        </w:rPr>
        <w:t>项目技术文件</w:t>
      </w:r>
      <w:bookmarkEnd w:id="0"/>
    </w:p>
    <w:p>
      <w:pPr>
        <w:rPr>
          <w:rFonts w:hint="eastAsia"/>
        </w:rPr>
      </w:pPr>
    </w:p>
    <w:p/>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充电设备安装位置</w:t>
      </w:r>
      <w:r>
        <w:rPr>
          <w:rFonts w:hint="eastAsia" w:ascii="仿宋" w:hAnsi="仿宋" w:eastAsia="仿宋" w:cs="仿宋"/>
          <w:sz w:val="32"/>
          <w:szCs w:val="32"/>
        </w:rPr>
        <w:t>：</w:t>
      </w:r>
      <w:r>
        <w:rPr>
          <w:rFonts w:hint="eastAsia" w:ascii="仿宋" w:hAnsi="仿宋" w:eastAsia="仿宋" w:cs="仿宋"/>
          <w:sz w:val="32"/>
          <w:szCs w:val="32"/>
          <w:lang w:val="en-US" w:eastAsia="zh-CN"/>
        </w:rPr>
        <w:t>17、</w:t>
      </w:r>
      <w:r>
        <w:rPr>
          <w:rFonts w:hint="eastAsia" w:ascii="仿宋" w:hAnsi="仿宋" w:eastAsia="仿宋" w:cs="仿宋"/>
          <w:sz w:val="32"/>
          <w:szCs w:val="32"/>
        </w:rPr>
        <w:t>18幢</w:t>
      </w:r>
      <w:r>
        <w:rPr>
          <w:rFonts w:hint="eastAsia" w:ascii="仿宋" w:hAnsi="仿宋" w:eastAsia="仿宋" w:cs="仿宋"/>
          <w:sz w:val="32"/>
          <w:szCs w:val="32"/>
          <w:lang w:eastAsia="zh-CN"/>
        </w:rPr>
        <w:t>学生公寓</w:t>
      </w:r>
      <w:r>
        <w:rPr>
          <w:rFonts w:hint="eastAsia" w:ascii="仿宋" w:hAnsi="仿宋" w:eastAsia="仿宋" w:cs="仿宋"/>
          <w:sz w:val="32"/>
          <w:szCs w:val="32"/>
        </w:rPr>
        <w:t>车棚</w:t>
      </w:r>
      <w:r>
        <w:rPr>
          <w:rFonts w:hint="eastAsia" w:ascii="仿宋" w:hAnsi="仿宋" w:eastAsia="仿宋" w:cs="仿宋"/>
          <w:sz w:val="32"/>
          <w:szCs w:val="32"/>
          <w:lang w:eastAsia="zh-CN"/>
        </w:rPr>
        <w:t>，</w:t>
      </w:r>
      <w:r>
        <w:rPr>
          <w:rFonts w:hint="eastAsia" w:ascii="仿宋" w:hAnsi="仿宋" w:eastAsia="仿宋" w:cs="仿宋"/>
          <w:sz w:val="32"/>
          <w:szCs w:val="32"/>
        </w:rPr>
        <w:t>26幢</w:t>
      </w:r>
      <w:r>
        <w:rPr>
          <w:rFonts w:hint="eastAsia" w:ascii="仿宋" w:hAnsi="仿宋" w:eastAsia="仿宋" w:cs="仿宋"/>
          <w:sz w:val="32"/>
          <w:szCs w:val="32"/>
          <w:lang w:eastAsia="zh-CN"/>
        </w:rPr>
        <w:t>学生公寓</w:t>
      </w:r>
      <w:r>
        <w:rPr>
          <w:rFonts w:hint="eastAsia" w:ascii="仿宋" w:hAnsi="仿宋" w:eastAsia="仿宋" w:cs="仿宋"/>
          <w:sz w:val="32"/>
          <w:szCs w:val="32"/>
        </w:rPr>
        <w:t>西侧车棚</w:t>
      </w:r>
      <w:r>
        <w:rPr>
          <w:rFonts w:hint="eastAsia" w:ascii="仿宋" w:hAnsi="仿宋" w:eastAsia="仿宋" w:cs="仿宋"/>
          <w:sz w:val="32"/>
          <w:szCs w:val="32"/>
          <w:lang w:eastAsia="zh-CN"/>
        </w:rPr>
        <w:t>。</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rPr>
        <w:t>设备的服务</w:t>
      </w:r>
      <w:r>
        <w:rPr>
          <w:rFonts w:hint="eastAsia" w:ascii="仿宋" w:hAnsi="仿宋" w:eastAsia="仿宋" w:cs="仿宋"/>
          <w:sz w:val="32"/>
          <w:szCs w:val="32"/>
          <w:lang w:eastAsia="zh-CN"/>
        </w:rPr>
        <w:t>、</w:t>
      </w:r>
      <w:r>
        <w:rPr>
          <w:rFonts w:hint="eastAsia" w:ascii="仿宋" w:hAnsi="仿宋" w:eastAsia="仿宋" w:cs="仿宋"/>
          <w:sz w:val="32"/>
          <w:szCs w:val="32"/>
        </w:rPr>
        <w:t>质量和安装要求</w:t>
      </w:r>
    </w:p>
    <w:p>
      <w:pPr>
        <w:numPr>
          <w:ilvl w:val="0"/>
          <w:numId w:val="2"/>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校</w:t>
      </w:r>
      <w:r>
        <w:rPr>
          <w:rFonts w:hint="eastAsia" w:ascii="仿宋" w:hAnsi="仿宋" w:eastAsia="仿宋" w:cs="仿宋"/>
          <w:sz w:val="32"/>
          <w:szCs w:val="32"/>
        </w:rPr>
        <w:t>方提供安装场地</w:t>
      </w:r>
      <w:r>
        <w:rPr>
          <w:rFonts w:hint="eastAsia" w:ascii="仿宋" w:hAnsi="仿宋" w:eastAsia="仿宋" w:cs="仿宋"/>
          <w:sz w:val="32"/>
          <w:szCs w:val="32"/>
          <w:lang w:eastAsia="zh-CN"/>
        </w:rPr>
        <w:t>，</w:t>
      </w:r>
      <w:r>
        <w:rPr>
          <w:rFonts w:hint="eastAsia" w:ascii="仿宋" w:hAnsi="仿宋" w:eastAsia="仿宋" w:cs="仿宋"/>
          <w:sz w:val="32"/>
          <w:szCs w:val="32"/>
        </w:rPr>
        <w:t>设备由</w:t>
      </w:r>
      <w:r>
        <w:rPr>
          <w:rFonts w:hint="eastAsia" w:ascii="仿宋" w:hAnsi="仿宋" w:eastAsia="仿宋" w:cs="仿宋"/>
          <w:sz w:val="32"/>
          <w:szCs w:val="32"/>
          <w:lang w:eastAsia="zh-CN"/>
        </w:rPr>
        <w:t>服务方</w:t>
      </w:r>
      <w:r>
        <w:rPr>
          <w:rFonts w:hint="eastAsia" w:ascii="仿宋" w:hAnsi="仿宋" w:eastAsia="仿宋" w:cs="仿宋"/>
          <w:sz w:val="32"/>
          <w:szCs w:val="32"/>
        </w:rPr>
        <w:t>免费提供给</w:t>
      </w:r>
      <w:r>
        <w:rPr>
          <w:rFonts w:hint="eastAsia" w:ascii="仿宋" w:hAnsi="仿宋" w:eastAsia="仿宋" w:cs="仿宋"/>
          <w:sz w:val="32"/>
          <w:szCs w:val="32"/>
          <w:lang w:eastAsia="zh-CN"/>
        </w:rPr>
        <w:t>校方</w:t>
      </w:r>
      <w:r>
        <w:rPr>
          <w:rFonts w:hint="eastAsia" w:ascii="仿宋" w:hAnsi="仿宋" w:eastAsia="仿宋" w:cs="仿宋"/>
          <w:sz w:val="32"/>
          <w:szCs w:val="32"/>
        </w:rPr>
        <w:t>使用，即</w:t>
      </w:r>
      <w:r>
        <w:rPr>
          <w:rFonts w:hint="eastAsia" w:ascii="仿宋" w:hAnsi="仿宋" w:eastAsia="仿宋" w:cs="仿宋"/>
          <w:sz w:val="32"/>
          <w:szCs w:val="32"/>
          <w:lang w:eastAsia="zh-CN"/>
        </w:rPr>
        <w:t>服务方</w:t>
      </w:r>
      <w:r>
        <w:rPr>
          <w:rFonts w:hint="eastAsia" w:ascii="仿宋" w:hAnsi="仿宋" w:eastAsia="仿宋" w:cs="仿宋"/>
          <w:sz w:val="32"/>
          <w:szCs w:val="32"/>
        </w:rPr>
        <w:t>提供设备，</w:t>
      </w:r>
      <w:r>
        <w:rPr>
          <w:rFonts w:hint="eastAsia" w:ascii="仿宋" w:hAnsi="仿宋" w:eastAsia="仿宋" w:cs="仿宋"/>
          <w:sz w:val="32"/>
          <w:szCs w:val="32"/>
          <w:lang w:eastAsia="zh-CN"/>
        </w:rPr>
        <w:t>并按</w:t>
      </w:r>
      <w:r>
        <w:rPr>
          <w:rFonts w:hint="eastAsia" w:ascii="仿宋" w:hAnsi="仿宋" w:eastAsia="仿宋" w:cs="仿宋"/>
          <w:sz w:val="32"/>
          <w:szCs w:val="32"/>
          <w:lang w:val="en-US" w:eastAsia="zh-CN"/>
        </w:rPr>
        <w:t>0.6元/度的标准每季度</w:t>
      </w:r>
      <w:r>
        <w:rPr>
          <w:rFonts w:hint="eastAsia" w:ascii="仿宋" w:hAnsi="仿宋" w:eastAsia="仿宋" w:cs="仿宋"/>
          <w:sz w:val="32"/>
          <w:szCs w:val="32"/>
          <w:lang w:eastAsia="zh-CN"/>
        </w:rPr>
        <w:t>缴纳一次电费。</w:t>
      </w:r>
    </w:p>
    <w:p>
      <w:pPr>
        <w:numPr>
          <w:ilvl w:val="0"/>
          <w:numId w:val="2"/>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服务方负责提供机器设备，自行支付材料</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安装等费用。</w:t>
      </w:r>
    </w:p>
    <w:p>
      <w:pPr>
        <w:numPr>
          <w:ilvl w:val="0"/>
          <w:numId w:val="2"/>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服务方负责充电桩的日常安全维护管理，在技术方面保障充电桩的安全，定期做好设备的安全检查管理，并保持设备外观整洁。</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服务方</w:t>
      </w:r>
      <w:r>
        <w:rPr>
          <w:rFonts w:hint="eastAsia" w:ascii="仿宋" w:hAnsi="仿宋" w:eastAsia="仿宋" w:cs="仿宋"/>
          <w:sz w:val="32"/>
          <w:szCs w:val="32"/>
        </w:rPr>
        <w:t>负责合同设备的安装、使用培训和日常维护。</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w:t>
      </w:r>
      <w:r>
        <w:rPr>
          <w:rFonts w:hint="eastAsia" w:ascii="仿宋" w:hAnsi="仿宋" w:eastAsia="仿宋" w:cs="仿宋"/>
          <w:sz w:val="32"/>
          <w:szCs w:val="32"/>
          <w:lang w:eastAsia="zh-CN"/>
        </w:rPr>
        <w:t>服务</w:t>
      </w:r>
      <w:r>
        <w:rPr>
          <w:rFonts w:hint="eastAsia" w:ascii="仿宋" w:hAnsi="仿宋" w:eastAsia="仿宋" w:cs="仿宋"/>
          <w:sz w:val="32"/>
          <w:szCs w:val="32"/>
        </w:rPr>
        <w:t>方应保证提供的设备是全新、并完全符合国家相关技术文件规定的质量、性能和规格的要求。</w:t>
      </w:r>
      <w:r>
        <w:rPr>
          <w:rFonts w:hint="eastAsia" w:ascii="仿宋" w:hAnsi="仿宋" w:eastAsia="仿宋" w:cs="仿宋"/>
          <w:sz w:val="32"/>
          <w:szCs w:val="32"/>
          <w:lang w:eastAsia="zh-CN"/>
        </w:rPr>
        <w:t>服务方</w:t>
      </w:r>
      <w:r>
        <w:rPr>
          <w:rFonts w:hint="eastAsia" w:ascii="仿宋" w:hAnsi="仿宋" w:eastAsia="仿宋" w:cs="仿宋"/>
          <w:sz w:val="32"/>
          <w:szCs w:val="32"/>
        </w:rPr>
        <w:t>承担因本合同设备故障而造成的第三方人身安全、财产损失、法律及赔偿等其他直接或间接责任。</w:t>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三、服务要求</w:t>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1、若设备出现损坏、故障，导致无法运行，校方应当及早告知服务方，由服务方派人维修。</w:t>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2、服务方承诺，投币1元供电使用时间不低于</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小时。</w:t>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、双方在合作期间不得转租设备，不能擅自拆改、变动设备的安装位置，不得擅自更改产品的外观、颜色、商标、产品编号标贴、产品面板的广告标贴、图形。</w:t>
      </w:r>
    </w:p>
    <w:p>
      <w:pPr>
        <w:numPr>
          <w:ilvl w:val="0"/>
          <w:numId w:val="0"/>
        </w:numPr>
        <w:ind w:lef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四、技术要求</w:t>
      </w:r>
    </w:p>
    <w:p>
      <w:pPr>
        <w:numPr>
          <w:ilvl w:val="0"/>
          <w:numId w:val="0"/>
        </w:numPr>
        <w:ind w:lef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1.每个充电站各路通道应相互独立，有各自的控制电路与过载保护电路，工作时不会出现相互干扰的现象。</w:t>
      </w:r>
    </w:p>
    <w:p>
      <w:pPr>
        <w:numPr>
          <w:ilvl w:val="0"/>
          <w:numId w:val="0"/>
        </w:numPr>
        <w:ind w:lef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2.为便利师生，设备可支持扫码（微信</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支付宝）</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投币两种付款方式。</w:t>
      </w:r>
    </w:p>
    <w:p>
      <w:pPr>
        <w:numPr>
          <w:ilvl w:val="0"/>
          <w:numId w:val="0"/>
        </w:numPr>
        <w:ind w:lef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3.带语音播报功能，会播报工作状况下的语音信息。</w:t>
      </w:r>
    </w:p>
    <w:p>
      <w:pPr>
        <w:numPr>
          <w:ilvl w:val="0"/>
          <w:numId w:val="0"/>
        </w:numPr>
        <w:ind w:lef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4.输出功率超过500W，或低于30W，可自动停止输出供电。</w:t>
      </w:r>
    </w:p>
    <w:p>
      <w:pPr>
        <w:numPr>
          <w:ilvl w:val="0"/>
          <w:numId w:val="0"/>
        </w:numPr>
        <w:ind w:lef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5.须具备断电记忆功能，工作过程中若遇停电，来电后可接着停电前的工作状态继续运行。</w:t>
      </w:r>
    </w:p>
    <w:p>
      <w:pPr>
        <w:numPr>
          <w:ilvl w:val="0"/>
          <w:numId w:val="0"/>
        </w:numPr>
        <w:ind w:leftChars="0"/>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6.</w:t>
      </w:r>
      <w:r>
        <w:rPr>
          <w:rFonts w:hint="eastAsia" w:ascii="仿宋" w:hAnsi="仿宋" w:eastAsia="仿宋" w:cs="仿宋"/>
          <w:sz w:val="32"/>
          <w:szCs w:val="32"/>
          <w:lang w:eastAsia="zh-CN"/>
        </w:rPr>
        <w:t>若接到师生咨询电话，中标人应即时回应给予操作指导。若设备发生故障，中标人应在1</w:t>
      </w: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小时内上门提供技术服务（节假日除外）。</w:t>
      </w:r>
    </w:p>
    <w:p>
      <w:pPr>
        <w:numPr>
          <w:ilvl w:val="0"/>
          <w:numId w:val="0"/>
        </w:numPr>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五、</w:t>
      </w:r>
      <w:r>
        <w:rPr>
          <w:rFonts w:hint="eastAsia" w:ascii="仿宋" w:hAnsi="仿宋" w:eastAsia="仿宋" w:cs="仿宋"/>
          <w:sz w:val="32"/>
          <w:szCs w:val="32"/>
          <w:lang w:val="en-US" w:eastAsia="zh-CN"/>
        </w:rPr>
        <w:t>投标书参照如下《丽职院电瓶车充电设备服务项目招标评分表》（附件1）的项目内容进行准备，投标文件装订成册，装入文件袋密封后，封面盖上公章，写明招标项目名称,待开标现场使用。</w:t>
      </w:r>
    </w:p>
    <w:p>
      <w:pPr>
        <w:numPr>
          <w:ilvl w:val="0"/>
          <w:numId w:val="0"/>
        </w:numPr>
        <w:ind w:leftChars="0" w:firstLine="640" w:firstLineChars="200"/>
        <w:rPr>
          <w:rFonts w:hint="eastAsia" w:ascii="仿宋" w:hAnsi="仿宋" w:eastAsia="仿宋" w:cs="仿宋"/>
          <w:sz w:val="32"/>
          <w:szCs w:val="32"/>
          <w:lang w:val="en-US" w:eastAsia="zh-CN"/>
        </w:rPr>
      </w:pPr>
    </w:p>
    <w:tbl>
      <w:tblPr>
        <w:tblStyle w:val="5"/>
        <w:tblW w:w="9988" w:type="dxa"/>
        <w:jc w:val="center"/>
        <w:tblInd w:w="0" w:type="dxa"/>
        <w:shd w:val="clear" w:color="auto" w:fill="auto"/>
        <w:tblLayout w:type="fixed"/>
        <w:tblCellMar>
          <w:top w:w="0" w:type="dxa"/>
          <w:left w:w="0" w:type="dxa"/>
          <w:bottom w:w="0" w:type="dxa"/>
          <w:right w:w="0" w:type="dxa"/>
        </w:tblCellMar>
      </w:tblPr>
      <w:tblGrid>
        <w:gridCol w:w="1027"/>
        <w:gridCol w:w="1395"/>
        <w:gridCol w:w="6090"/>
        <w:gridCol w:w="660"/>
        <w:gridCol w:w="816"/>
      </w:tblGrid>
      <w:tr>
        <w:tblPrEx>
          <w:shd w:val="clear" w:color="auto" w:fill="auto"/>
          <w:tblLayout w:type="fixed"/>
          <w:tblCellMar>
            <w:top w:w="0" w:type="dxa"/>
            <w:left w:w="0" w:type="dxa"/>
            <w:bottom w:w="0" w:type="dxa"/>
            <w:right w:w="0" w:type="dxa"/>
          </w:tblCellMar>
        </w:tblPrEx>
        <w:trPr>
          <w:trHeight w:val="829" w:hRule="atLeast"/>
          <w:jc w:val="center"/>
        </w:trPr>
        <w:tc>
          <w:tcPr>
            <w:tcW w:w="9988" w:type="dxa"/>
            <w:gridSpan w:val="5"/>
            <w:tcBorders>
              <w:top w:val="nil"/>
              <w:left w:val="nil"/>
              <w:bottom w:val="nil"/>
              <w:right w:val="nil"/>
            </w:tcBorders>
            <w:shd w:val="clear" w:color="auto" w:fill="auto"/>
            <w:noWrap/>
            <w:tcMar>
              <w:top w:w="15" w:type="dxa"/>
              <w:left w:w="15" w:type="dxa"/>
              <w:right w:w="15" w:type="dxa"/>
            </w:tcMar>
            <w:vAlign w:val="center"/>
          </w:tcPr>
          <w:p>
            <w:pPr>
              <w:numPr>
                <w:ilvl w:val="0"/>
                <w:numId w:val="0"/>
              </w:numPr>
              <w:ind w:leftChars="0"/>
              <w:jc w:val="both"/>
              <w:rPr>
                <w:rFonts w:hint="default" w:ascii="仿宋" w:hAnsi="仿宋" w:eastAsia="仿宋" w:cs="仿宋"/>
                <w:b/>
                <w:bCs/>
                <w:sz w:val="36"/>
                <w:szCs w:val="36"/>
                <w:lang w:val="en-US" w:eastAsia="zh-CN"/>
              </w:rPr>
            </w:pPr>
            <w:r>
              <w:rPr>
                <w:rFonts w:hint="eastAsia" w:ascii="仿宋" w:hAnsi="仿宋" w:eastAsia="仿宋" w:cs="仿宋"/>
                <w:b/>
                <w:bCs/>
                <w:sz w:val="36"/>
                <w:szCs w:val="36"/>
                <w:lang w:val="en-US" w:eastAsia="zh-CN"/>
              </w:rPr>
              <w:t xml:space="preserve">    </w:t>
            </w:r>
            <w:r>
              <w:rPr>
                <w:rFonts w:hint="eastAsia" w:ascii="仿宋" w:hAnsi="仿宋" w:eastAsia="仿宋" w:cs="仿宋"/>
                <w:b w:val="0"/>
                <w:bCs w:val="0"/>
                <w:sz w:val="28"/>
                <w:szCs w:val="28"/>
                <w:lang w:val="en-US" w:eastAsia="zh-CN"/>
              </w:rPr>
              <w:t xml:space="preserve"> 附件1：</w:t>
            </w:r>
          </w:p>
          <w:p>
            <w:pPr>
              <w:numPr>
                <w:ilvl w:val="0"/>
                <w:numId w:val="0"/>
              </w:numPr>
              <w:ind w:leftChars="0"/>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丽职院电瓶车充电设备服务项目招标评分表</w:t>
            </w:r>
          </w:p>
          <w:p>
            <w:pPr>
              <w:keepNext w:val="0"/>
              <w:keepLines w:val="0"/>
              <w:pageBreakBefore w:val="0"/>
              <w:widowControl w:val="0"/>
              <w:numPr>
                <w:ilvl w:val="0"/>
                <w:numId w:val="0"/>
              </w:numPr>
              <w:kinsoku/>
              <w:wordWrap/>
              <w:overflowPunct/>
              <w:topLinePunct w:val="0"/>
              <w:autoSpaceDE/>
              <w:autoSpaceDN/>
              <w:bidi w:val="0"/>
              <w:adjustRightInd/>
              <w:snapToGrid/>
              <w:spacing w:line="100" w:lineRule="exact"/>
              <w:ind w:leftChars="0"/>
              <w:jc w:val="center"/>
              <w:textAlignment w:val="auto"/>
              <w:rPr>
                <w:rFonts w:hint="eastAsia" w:ascii="仿宋" w:hAnsi="仿宋" w:eastAsia="仿宋" w:cs="仿宋"/>
                <w:b/>
                <w:bCs/>
                <w:sz w:val="28"/>
                <w:szCs w:val="28"/>
                <w:lang w:val="en-US" w:eastAsia="zh-CN"/>
              </w:rPr>
            </w:pPr>
          </w:p>
        </w:tc>
      </w:tr>
      <w:tr>
        <w:tblPrEx>
          <w:shd w:val="clear" w:color="auto" w:fill="auto"/>
          <w:tblLayout w:type="fixed"/>
          <w:tblCellMar>
            <w:top w:w="0" w:type="dxa"/>
            <w:left w:w="0" w:type="dxa"/>
            <w:bottom w:w="0" w:type="dxa"/>
            <w:right w:w="0" w:type="dxa"/>
          </w:tblCellMar>
        </w:tblPrEx>
        <w:trPr>
          <w:trHeight w:val="90" w:hRule="atLeast"/>
          <w:jc w:val="center"/>
        </w:trPr>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ind w:leftChars="0"/>
              <w:jc w:val="center"/>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序号</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ind w:leftChars="0"/>
              <w:jc w:val="center"/>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分类</w:t>
            </w:r>
          </w:p>
        </w:tc>
        <w:tc>
          <w:tcPr>
            <w:tcW w:w="6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ind w:leftChars="0"/>
              <w:jc w:val="center"/>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评分细则</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ind w:leftChars="0"/>
              <w:jc w:val="center"/>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分值</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ind w:leftChars="0"/>
              <w:jc w:val="center"/>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评分</w:t>
            </w:r>
          </w:p>
        </w:tc>
      </w:tr>
      <w:tr>
        <w:tblPrEx>
          <w:shd w:val="clear" w:color="auto" w:fill="auto"/>
          <w:tblLayout w:type="fixed"/>
          <w:tblCellMar>
            <w:top w:w="0" w:type="dxa"/>
            <w:left w:w="0" w:type="dxa"/>
            <w:bottom w:w="0" w:type="dxa"/>
            <w:right w:w="0" w:type="dxa"/>
          </w:tblCellMar>
        </w:tblPrEx>
        <w:trPr>
          <w:trHeight w:val="785" w:hRule="atLeast"/>
          <w:jc w:val="center"/>
        </w:trPr>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部分</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设备投入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（30分）</w:t>
            </w:r>
          </w:p>
        </w:tc>
        <w:tc>
          <w:tcPr>
            <w:tcW w:w="6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整个项目的资金投入情况，对充电设施的功能和外观进行专项设计，以及项目建设的标准化水平。</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ind w:leftChars="0"/>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30</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ind w:leftChars="0"/>
              <w:jc w:val="center"/>
              <w:rPr>
                <w:rFonts w:hint="eastAsia" w:ascii="仿宋" w:hAnsi="仿宋" w:eastAsia="仿宋" w:cs="仿宋"/>
                <w:sz w:val="28"/>
                <w:szCs w:val="28"/>
                <w:lang w:eastAsia="zh-CN"/>
              </w:rPr>
            </w:pPr>
          </w:p>
        </w:tc>
      </w:tr>
      <w:tr>
        <w:tblPrEx>
          <w:shd w:val="clear" w:color="auto" w:fill="auto"/>
          <w:tblLayout w:type="fixed"/>
          <w:tblCellMar>
            <w:top w:w="0" w:type="dxa"/>
            <w:left w:w="0" w:type="dxa"/>
            <w:bottom w:w="0" w:type="dxa"/>
            <w:right w:w="0" w:type="dxa"/>
          </w:tblCellMar>
        </w:tblPrEx>
        <w:trPr>
          <w:trHeight w:val="559" w:hRule="atLeast"/>
          <w:jc w:val="center"/>
        </w:trPr>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center"/>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序号</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center"/>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分类</w:t>
            </w:r>
          </w:p>
        </w:tc>
        <w:tc>
          <w:tcPr>
            <w:tcW w:w="6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center"/>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评分细则</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ind w:leftChars="0"/>
              <w:jc w:val="center"/>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分值</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ind w:leftChars="0"/>
              <w:jc w:val="center"/>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评分</w:t>
            </w:r>
          </w:p>
        </w:tc>
      </w:tr>
      <w:tr>
        <w:tblPrEx>
          <w:shd w:val="clear" w:color="auto" w:fill="auto"/>
          <w:tblLayout w:type="fixed"/>
          <w:tblCellMar>
            <w:top w:w="0" w:type="dxa"/>
            <w:left w:w="0" w:type="dxa"/>
            <w:bottom w:w="0" w:type="dxa"/>
            <w:right w:w="0" w:type="dxa"/>
          </w:tblCellMar>
        </w:tblPrEx>
        <w:trPr>
          <w:trHeight w:val="1545" w:hRule="atLeast"/>
          <w:jc w:val="center"/>
        </w:trPr>
        <w:tc>
          <w:tcPr>
            <w:tcW w:w="1027"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部分</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服务方的资质、类似项目建设</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xml:space="preserve">成功经验 </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(10分)</w:t>
            </w:r>
          </w:p>
        </w:tc>
        <w:tc>
          <w:tcPr>
            <w:tcW w:w="6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近三年以来服务方承担类似项目情况，承担类似项目情况（成功案例）需要提供协议书（合同）复印件并加盖公章（以签订时间为准，原件备查），如协议书、合同或用户报告等，提供一份协议及证明材料得2分，以此类推。</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ind w:leftChars="0"/>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10</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ind w:leftChars="0"/>
              <w:jc w:val="center"/>
              <w:rPr>
                <w:rFonts w:hint="eastAsia" w:ascii="仿宋" w:hAnsi="仿宋" w:eastAsia="仿宋" w:cs="仿宋"/>
                <w:sz w:val="28"/>
                <w:szCs w:val="28"/>
                <w:lang w:eastAsia="zh-CN"/>
              </w:rPr>
            </w:pPr>
          </w:p>
        </w:tc>
      </w:tr>
      <w:tr>
        <w:tblPrEx>
          <w:shd w:val="clear" w:color="auto" w:fill="auto"/>
          <w:tblLayout w:type="fixed"/>
          <w:tblCellMar>
            <w:top w:w="0" w:type="dxa"/>
            <w:left w:w="0" w:type="dxa"/>
            <w:bottom w:w="0" w:type="dxa"/>
            <w:right w:w="0" w:type="dxa"/>
          </w:tblCellMar>
        </w:tblPrEx>
        <w:trPr>
          <w:trHeight w:val="1575" w:hRule="atLeast"/>
          <w:jc w:val="center"/>
        </w:trPr>
        <w:tc>
          <w:tcPr>
            <w:tcW w:w="102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center"/>
              <w:textAlignment w:val="auto"/>
              <w:rPr>
                <w:rFonts w:hint="eastAsia" w:ascii="仿宋" w:hAnsi="仿宋" w:eastAsia="仿宋" w:cs="仿宋"/>
                <w:sz w:val="28"/>
                <w:szCs w:val="28"/>
                <w:lang w:eastAsia="zh-CN"/>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运营管理     （30分）</w:t>
            </w:r>
          </w:p>
        </w:tc>
        <w:tc>
          <w:tcPr>
            <w:tcW w:w="6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根据服务方对该项目的理解程度，制定经营管理方案，考察实际团队运营管理水平和管理模式，充分评估项目运营的可行性、先进性、合理性等。</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（“优”得21—30分；“良”得11—20分；“差”得0—10分。）</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ind w:leftChars="0"/>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30</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ind w:leftChars="0"/>
              <w:jc w:val="center"/>
              <w:rPr>
                <w:rFonts w:hint="eastAsia" w:ascii="仿宋" w:hAnsi="仿宋" w:eastAsia="仿宋" w:cs="仿宋"/>
                <w:sz w:val="28"/>
                <w:szCs w:val="28"/>
                <w:lang w:eastAsia="zh-CN"/>
              </w:rPr>
            </w:pPr>
          </w:p>
        </w:tc>
      </w:tr>
      <w:tr>
        <w:tblPrEx>
          <w:shd w:val="clear" w:color="auto" w:fill="auto"/>
          <w:tblLayout w:type="fixed"/>
          <w:tblCellMar>
            <w:top w:w="0" w:type="dxa"/>
            <w:left w:w="0" w:type="dxa"/>
            <w:bottom w:w="0" w:type="dxa"/>
            <w:right w:w="0" w:type="dxa"/>
          </w:tblCellMar>
        </w:tblPrEx>
        <w:trPr>
          <w:trHeight w:val="1440" w:hRule="atLeast"/>
          <w:jc w:val="center"/>
        </w:trPr>
        <w:tc>
          <w:tcPr>
            <w:tcW w:w="102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center"/>
              <w:textAlignment w:val="auto"/>
              <w:rPr>
                <w:rFonts w:hint="eastAsia" w:ascii="仿宋" w:hAnsi="仿宋" w:eastAsia="仿宋" w:cs="仿宋"/>
                <w:sz w:val="28"/>
                <w:szCs w:val="28"/>
                <w:lang w:eastAsia="zh-CN"/>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管理制度及突发应急预案             （10分）</w:t>
            </w:r>
          </w:p>
        </w:tc>
        <w:tc>
          <w:tcPr>
            <w:tcW w:w="6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根据服务方的基本情况、人员管理、卫生管理、安全操作规范、服务管理、突发事件应急预案等各种管理制度，综合比较后进行打分：</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（“优”得7—10分；“良”得4—6分；“差”得0—3分。）</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ind w:leftChars="0"/>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10</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ind w:leftChars="0"/>
              <w:jc w:val="center"/>
              <w:rPr>
                <w:rFonts w:hint="eastAsia" w:ascii="仿宋" w:hAnsi="仿宋" w:eastAsia="仿宋" w:cs="仿宋"/>
                <w:sz w:val="28"/>
                <w:szCs w:val="28"/>
                <w:lang w:eastAsia="zh-CN"/>
              </w:rPr>
            </w:pPr>
          </w:p>
        </w:tc>
      </w:tr>
      <w:tr>
        <w:tblPrEx>
          <w:shd w:val="clear" w:color="auto" w:fill="auto"/>
          <w:tblLayout w:type="fixed"/>
          <w:tblCellMar>
            <w:top w:w="0" w:type="dxa"/>
            <w:left w:w="0" w:type="dxa"/>
            <w:bottom w:w="0" w:type="dxa"/>
            <w:right w:w="0" w:type="dxa"/>
          </w:tblCellMar>
        </w:tblPrEx>
        <w:trPr>
          <w:trHeight w:val="1380" w:hRule="atLeast"/>
          <w:jc w:val="center"/>
        </w:trPr>
        <w:tc>
          <w:tcPr>
            <w:tcW w:w="102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center"/>
              <w:textAlignment w:val="auto"/>
              <w:rPr>
                <w:rFonts w:hint="eastAsia" w:ascii="仿宋" w:hAnsi="仿宋" w:eastAsia="仿宋" w:cs="仿宋"/>
                <w:sz w:val="28"/>
                <w:szCs w:val="28"/>
                <w:lang w:eastAsia="zh-CN"/>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服务、安全承诺及优惠条件</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（10分）</w:t>
            </w:r>
          </w:p>
        </w:tc>
        <w:tc>
          <w:tcPr>
            <w:tcW w:w="6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对服务方的安全承诺、服务承诺以及中标后给予学校师生员工的服务规范和优惠条件等内容及具体可行性措施，进行比较打分：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（“优”得7—10分；“良”得4—6分；“差”得0—3分。）</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ind w:leftChars="0"/>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10</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ind w:leftChars="0"/>
              <w:jc w:val="center"/>
              <w:rPr>
                <w:rFonts w:hint="eastAsia" w:ascii="仿宋" w:hAnsi="仿宋" w:eastAsia="仿宋" w:cs="仿宋"/>
                <w:sz w:val="28"/>
                <w:szCs w:val="28"/>
                <w:lang w:eastAsia="zh-CN"/>
              </w:rPr>
            </w:pPr>
          </w:p>
        </w:tc>
      </w:tr>
      <w:tr>
        <w:tblPrEx>
          <w:shd w:val="clear" w:color="auto" w:fill="auto"/>
          <w:tblLayout w:type="fixed"/>
          <w:tblCellMar>
            <w:top w:w="0" w:type="dxa"/>
            <w:left w:w="0" w:type="dxa"/>
            <w:bottom w:w="0" w:type="dxa"/>
            <w:right w:w="0" w:type="dxa"/>
          </w:tblCellMar>
        </w:tblPrEx>
        <w:trPr>
          <w:trHeight w:val="1185" w:hRule="atLeast"/>
          <w:jc w:val="center"/>
        </w:trPr>
        <w:tc>
          <w:tcPr>
            <w:tcW w:w="102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center"/>
              <w:textAlignment w:val="auto"/>
              <w:rPr>
                <w:rFonts w:hint="eastAsia" w:ascii="仿宋" w:hAnsi="仿宋" w:eastAsia="仿宋" w:cs="仿宋"/>
                <w:sz w:val="28"/>
                <w:szCs w:val="28"/>
                <w:lang w:eastAsia="zh-CN"/>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投标文件的规范性、完整性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（10分）</w:t>
            </w:r>
          </w:p>
        </w:tc>
        <w:tc>
          <w:tcPr>
            <w:tcW w:w="6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投标文件是否编制完整、格式规范、内容齐全、表述准确、条理清晰，内容无前后矛盾，符合招标文件要求，对标书的规范和完整等情况比较后打分。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（“优”得7—10分；“良”得4—6分；“差”得0—3分。）</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ind w:leftChars="0"/>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10</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ind w:leftChars="0"/>
              <w:jc w:val="center"/>
              <w:rPr>
                <w:rFonts w:hint="eastAsia" w:ascii="仿宋" w:hAnsi="仿宋" w:eastAsia="仿宋" w:cs="仿宋"/>
                <w:sz w:val="28"/>
                <w:szCs w:val="28"/>
                <w:lang w:eastAsia="zh-CN"/>
              </w:rPr>
            </w:pPr>
          </w:p>
        </w:tc>
      </w:tr>
      <w:tr>
        <w:tblPrEx>
          <w:shd w:val="clear" w:color="auto" w:fill="auto"/>
          <w:tblLayout w:type="fixed"/>
          <w:tblCellMar>
            <w:top w:w="0" w:type="dxa"/>
            <w:left w:w="0" w:type="dxa"/>
            <w:bottom w:w="0" w:type="dxa"/>
            <w:right w:w="0" w:type="dxa"/>
          </w:tblCellMar>
        </w:tblPrEx>
        <w:trPr>
          <w:trHeight w:val="945" w:hRule="atLeast"/>
          <w:jc w:val="center"/>
        </w:trPr>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ind w:leftChars="0"/>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总评分</w:t>
            </w:r>
          </w:p>
        </w:tc>
        <w:tc>
          <w:tcPr>
            <w:tcW w:w="6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ind w:leftChars="0"/>
              <w:jc w:val="center"/>
              <w:rPr>
                <w:rFonts w:hint="eastAsia" w:ascii="仿宋" w:hAnsi="仿宋" w:eastAsia="仿宋" w:cs="仿宋"/>
                <w:sz w:val="28"/>
                <w:szCs w:val="28"/>
                <w:lang w:eastAsia="zh-CN"/>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ind w:leftChars="0"/>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100</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ind w:leftChars="0"/>
              <w:jc w:val="center"/>
              <w:rPr>
                <w:rFonts w:hint="eastAsia" w:ascii="仿宋" w:hAnsi="仿宋" w:eastAsia="仿宋" w:cs="仿宋"/>
                <w:sz w:val="28"/>
                <w:szCs w:val="28"/>
                <w:lang w:eastAsia="zh-CN"/>
              </w:rPr>
            </w:pPr>
          </w:p>
        </w:tc>
      </w:tr>
    </w:tbl>
    <w:p>
      <w:pPr>
        <w:numPr>
          <w:ilvl w:val="0"/>
          <w:numId w:val="0"/>
        </w:numPr>
        <w:ind w:leftChars="0"/>
        <w:rPr>
          <w:rFonts w:hint="eastAsia" w:ascii="仿宋" w:hAnsi="仿宋" w:eastAsia="仿宋" w:cs="仿宋"/>
          <w:sz w:val="32"/>
          <w:szCs w:val="32"/>
          <w:lang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p>
    <w:p>
      <w:pPr>
        <w:numPr>
          <w:ilvl w:val="0"/>
          <w:numId w:val="0"/>
        </w:numPr>
        <w:ind w:leftChars="0"/>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丽职院电瓶车充电设备服务项目投标报名表</w:t>
      </w:r>
    </w:p>
    <w:tbl>
      <w:tblPr>
        <w:tblStyle w:val="5"/>
        <w:tblpPr w:leftFromText="180" w:rightFromText="180" w:vertAnchor="text" w:horzAnchor="page" w:tblpX="1900" w:tblpY="562"/>
        <w:tblOverlap w:val="never"/>
        <w:tblW w:w="8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6"/>
        <w:gridCol w:w="2370"/>
        <w:gridCol w:w="1590"/>
        <w:gridCol w:w="2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5" w:hRule="exact"/>
        </w:trPr>
        <w:tc>
          <w:tcPr>
            <w:tcW w:w="1786"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Chars="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公司名称</w:t>
            </w:r>
          </w:p>
        </w:tc>
        <w:tc>
          <w:tcPr>
            <w:tcW w:w="6539" w:type="dxa"/>
            <w:gridSpan w:val="3"/>
            <w:tcBorders>
              <w:top w:val="single" w:color="auto" w:sz="4" w:space="0"/>
              <w:left w:val="single" w:color="auto" w:sz="4" w:space="0"/>
              <w:bottom w:val="single" w:color="auto" w:sz="4" w:space="0"/>
              <w:right w:val="single" w:color="auto" w:sz="4" w:space="0"/>
            </w:tcBorders>
            <w:vAlign w:val="center"/>
          </w:tcPr>
          <w:p>
            <w:pPr>
              <w:numPr>
                <w:ilvl w:val="0"/>
                <w:numId w:val="0"/>
              </w:numPr>
              <w:ind w:leftChars="0"/>
              <w:rPr>
                <w:rFonts w:hint="eastAsia" w:ascii="仿宋" w:hAnsi="仿宋" w:eastAsia="仿宋" w:cs="仿宋"/>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5" w:hRule="exact"/>
        </w:trPr>
        <w:tc>
          <w:tcPr>
            <w:tcW w:w="1786"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Chars="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法人代表</w:t>
            </w:r>
          </w:p>
        </w:tc>
        <w:tc>
          <w:tcPr>
            <w:tcW w:w="2370"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Chars="0"/>
              <w:rPr>
                <w:rFonts w:hint="eastAsia" w:ascii="仿宋" w:hAnsi="仿宋" w:eastAsia="仿宋" w:cs="仿宋"/>
                <w:sz w:val="32"/>
                <w:szCs w:val="32"/>
                <w:lang w:eastAsia="zh-CN"/>
              </w:rPr>
            </w:pPr>
          </w:p>
        </w:tc>
        <w:tc>
          <w:tcPr>
            <w:tcW w:w="1590"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Chars="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联系电话</w:t>
            </w:r>
          </w:p>
        </w:tc>
        <w:tc>
          <w:tcPr>
            <w:tcW w:w="2579"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Chars="0"/>
              <w:rPr>
                <w:rFonts w:hint="eastAsia" w:ascii="仿宋" w:hAnsi="仿宋" w:eastAsia="仿宋" w:cs="仿宋"/>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5" w:hRule="exact"/>
        </w:trPr>
        <w:tc>
          <w:tcPr>
            <w:tcW w:w="1786"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Chars="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委托人</w:t>
            </w:r>
          </w:p>
        </w:tc>
        <w:tc>
          <w:tcPr>
            <w:tcW w:w="2370"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Chars="0"/>
              <w:rPr>
                <w:rFonts w:hint="eastAsia" w:ascii="仿宋" w:hAnsi="仿宋" w:eastAsia="仿宋" w:cs="仿宋"/>
                <w:sz w:val="32"/>
                <w:szCs w:val="32"/>
                <w:lang w:eastAsia="zh-CN"/>
              </w:rPr>
            </w:pPr>
          </w:p>
        </w:tc>
        <w:tc>
          <w:tcPr>
            <w:tcW w:w="1590"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Chars="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联系电话</w:t>
            </w:r>
          </w:p>
        </w:tc>
        <w:tc>
          <w:tcPr>
            <w:tcW w:w="2579"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Chars="0"/>
              <w:rPr>
                <w:rFonts w:hint="eastAsia" w:ascii="仿宋" w:hAnsi="仿宋" w:eastAsia="仿宋" w:cs="仿宋"/>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5" w:hRule="exact"/>
        </w:trPr>
        <w:tc>
          <w:tcPr>
            <w:tcW w:w="1786"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Chars="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经营内容</w:t>
            </w:r>
          </w:p>
        </w:tc>
        <w:tc>
          <w:tcPr>
            <w:tcW w:w="6539" w:type="dxa"/>
            <w:gridSpan w:val="3"/>
            <w:tcBorders>
              <w:top w:val="single" w:color="auto" w:sz="4" w:space="0"/>
              <w:left w:val="single" w:color="auto" w:sz="4" w:space="0"/>
              <w:bottom w:val="single" w:color="auto" w:sz="4" w:space="0"/>
              <w:right w:val="single" w:color="auto" w:sz="4" w:space="0"/>
            </w:tcBorders>
            <w:vAlign w:val="center"/>
          </w:tcPr>
          <w:p>
            <w:pPr>
              <w:numPr>
                <w:ilvl w:val="0"/>
                <w:numId w:val="0"/>
              </w:numPr>
              <w:ind w:leftChars="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停车棚电瓶车充电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2" w:hRule="atLeast"/>
        </w:trPr>
        <w:tc>
          <w:tcPr>
            <w:tcW w:w="8325" w:type="dxa"/>
            <w:gridSpan w:val="4"/>
            <w:tcBorders>
              <w:top w:val="single" w:color="auto" w:sz="4" w:space="0"/>
              <w:left w:val="single" w:color="auto" w:sz="4" w:space="0"/>
              <w:bottom w:val="single" w:color="auto" w:sz="4" w:space="0"/>
              <w:right w:val="single" w:color="auto" w:sz="4" w:space="0"/>
            </w:tcBorders>
            <w:vAlign w:val="center"/>
          </w:tcPr>
          <w:p>
            <w:pPr>
              <w:numPr>
                <w:ilvl w:val="0"/>
                <w:numId w:val="0"/>
              </w:numPr>
              <w:ind w:leftChars="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备注（不允许删减）：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1.竞标单位负责提供机器设备，自行支付材料</w:t>
            </w:r>
            <w:r>
              <w:rPr>
                <w:rFonts w:hint="eastAsia" w:ascii="仿宋" w:hAnsi="仿宋" w:eastAsia="仿宋" w:cs="仿宋"/>
                <w:sz w:val="28"/>
                <w:szCs w:val="28"/>
                <w:lang w:val="en-US" w:eastAsia="zh-CN"/>
              </w:rPr>
              <w:t>、</w:t>
            </w:r>
            <w:r>
              <w:rPr>
                <w:rFonts w:hint="eastAsia" w:ascii="仿宋" w:hAnsi="仿宋" w:eastAsia="仿宋" w:cs="仿宋"/>
                <w:sz w:val="28"/>
                <w:szCs w:val="28"/>
                <w:lang w:eastAsia="zh-CN"/>
              </w:rPr>
              <w:t>安装等费用，并负责充电桩的日常安全维护管理。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2.电费按实际计量每季度收取一次，若未按时缴纳电费则视作违约，与学校自动解除合作关系，学校即刻重新招标，且不给予服务方其他任何赔偿。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仿宋" w:hAnsi="仿宋" w:eastAsia="仿宋" w:cs="仿宋"/>
                <w:sz w:val="32"/>
                <w:szCs w:val="32"/>
                <w:lang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.若原设备提供方没有中标，需在开标后1</w:t>
            </w:r>
            <w:r>
              <w:rPr>
                <w:rFonts w:hint="eastAsia" w:ascii="仿宋" w:hAnsi="仿宋" w:eastAsia="仿宋" w:cs="仿宋"/>
                <w:sz w:val="28"/>
                <w:szCs w:val="28"/>
                <w:lang w:val="en-US" w:eastAsia="zh-CN"/>
              </w:rPr>
              <w:t>0日</w:t>
            </w:r>
            <w:r>
              <w:rPr>
                <w:rFonts w:hint="eastAsia" w:ascii="仿宋" w:hAnsi="仿宋" w:eastAsia="仿宋" w:cs="仿宋"/>
                <w:sz w:val="28"/>
                <w:szCs w:val="28"/>
                <w:lang w:eastAsia="zh-CN"/>
              </w:rPr>
              <w:t>内清空设备。如不及时清空，校方有权自行处理。</w:t>
            </w:r>
          </w:p>
        </w:tc>
      </w:tr>
    </w:tbl>
    <w:p>
      <w:pPr>
        <w:numPr>
          <w:ilvl w:val="0"/>
          <w:numId w:val="0"/>
        </w:numPr>
        <w:ind w:leftChars="0"/>
        <w:rPr>
          <w:rFonts w:hint="eastAsia" w:ascii="仿宋" w:hAnsi="仿宋" w:eastAsia="仿宋" w:cs="仿宋"/>
          <w:sz w:val="32"/>
          <w:szCs w:val="32"/>
          <w:lang w:eastAsia="zh-CN"/>
        </w:rPr>
      </w:pPr>
    </w:p>
    <w:p>
      <w:pPr>
        <w:numPr>
          <w:ilvl w:val="0"/>
          <w:numId w:val="0"/>
        </w:numPr>
        <w:ind w:leftChars="0" w:firstLine="320" w:firstLineChars="100"/>
        <w:rPr>
          <w:rFonts w:hint="eastAsia" w:ascii="仿宋" w:hAnsi="仿宋" w:eastAsia="仿宋" w:cs="仿宋"/>
          <w:sz w:val="32"/>
          <w:szCs w:val="32"/>
          <w:lang w:eastAsia="zh-CN"/>
        </w:rPr>
      </w:pPr>
      <w:r>
        <w:rPr>
          <w:rFonts w:hint="eastAsia" w:ascii="仿宋" w:hAnsi="仿宋" w:eastAsia="仿宋" w:cs="仿宋"/>
          <w:sz w:val="32"/>
          <w:szCs w:val="32"/>
          <w:lang w:eastAsia="zh-CN"/>
        </w:rPr>
        <w:t>公司名称 ：                法定代表人或委托人：</w:t>
      </w:r>
    </w:p>
    <w:p>
      <w:pPr>
        <w:numPr>
          <w:ilvl w:val="0"/>
          <w:numId w:val="0"/>
        </w:numPr>
        <w:ind w:leftChars="0"/>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（加盖公章）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（签字或盖章）</w:t>
      </w:r>
    </w:p>
    <w:p>
      <w:pPr>
        <w:numPr>
          <w:ilvl w:val="0"/>
          <w:numId w:val="0"/>
        </w:numPr>
        <w:ind w:left="5440" w:leftChars="0" w:hanging="5440" w:hangingChars="1700"/>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numPr>
          <w:ilvl w:val="0"/>
          <w:numId w:val="0"/>
        </w:numPr>
        <w:ind w:left="5440" w:leftChars="0" w:hanging="5440" w:hangingChars="1700"/>
        <w:rPr>
          <w:rFonts w:hint="eastAsia" w:ascii="仿宋" w:hAnsi="仿宋" w:eastAsia="仿宋" w:cs="仿宋"/>
          <w:sz w:val="32"/>
          <w:szCs w:val="32"/>
          <w:lang w:eastAsia="zh-CN"/>
        </w:rPr>
      </w:pPr>
    </w:p>
    <w:p>
      <w:pPr>
        <w:numPr>
          <w:ilvl w:val="0"/>
          <w:numId w:val="0"/>
        </w:numPr>
        <w:ind w:left="5426" w:leftChars="2584" w:firstLine="0" w:firstLineChars="0"/>
        <w:rPr>
          <w:rFonts w:hint="eastAsia" w:ascii="仿宋" w:hAnsi="仿宋" w:eastAsia="仿宋" w:cs="仿宋"/>
          <w:sz w:val="32"/>
          <w:szCs w:val="32"/>
          <w:lang w:eastAsia="zh-CN"/>
        </w:rPr>
      </w:pPr>
      <w:r>
        <w:rPr>
          <w:rFonts w:hint="eastAsia" w:ascii="仿宋" w:hAnsi="仿宋" w:eastAsia="仿宋" w:cs="仿宋"/>
          <w:sz w:val="32"/>
          <w:szCs w:val="32"/>
          <w:lang w:eastAsia="zh-CN"/>
        </w:rPr>
        <w:t>20</w:t>
      </w:r>
      <w:r>
        <w:rPr>
          <w:rFonts w:hint="eastAsia" w:ascii="仿宋" w:hAnsi="仿宋" w:eastAsia="仿宋" w:cs="仿宋"/>
          <w:sz w:val="32"/>
          <w:szCs w:val="32"/>
          <w:lang w:val="en-US" w:eastAsia="zh-CN"/>
        </w:rPr>
        <w:t>20</w:t>
      </w:r>
      <w:r>
        <w:rPr>
          <w:rFonts w:hint="eastAsia" w:ascii="仿宋" w:hAnsi="仿宋" w:eastAsia="仿宋" w:cs="仿宋"/>
          <w:sz w:val="32"/>
          <w:szCs w:val="32"/>
          <w:lang w:eastAsia="zh-CN"/>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CBE3DC"/>
    <w:multiLevelType w:val="singleLevel"/>
    <w:tmpl w:val="BECBE3DC"/>
    <w:lvl w:ilvl="0" w:tentative="0">
      <w:start w:val="1"/>
      <w:numFmt w:val="chineseCounting"/>
      <w:suff w:val="nothing"/>
      <w:lvlText w:val="%1、"/>
      <w:lvlJc w:val="left"/>
      <w:rPr>
        <w:rFonts w:hint="eastAsia"/>
      </w:rPr>
    </w:lvl>
  </w:abstractNum>
  <w:abstractNum w:abstractNumId="1">
    <w:nsid w:val="5FEB401D"/>
    <w:multiLevelType w:val="singleLevel"/>
    <w:tmpl w:val="5FEB401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1B311D"/>
    <w:rsid w:val="08326611"/>
    <w:rsid w:val="2CA25E3D"/>
    <w:rsid w:val="3C4D61AE"/>
    <w:rsid w:val="424713C8"/>
    <w:rsid w:val="42532180"/>
    <w:rsid w:val="4818786C"/>
    <w:rsid w:val="481B311D"/>
    <w:rsid w:val="49D9410D"/>
    <w:rsid w:val="5DA9486B"/>
    <w:rsid w:val="6D4A2978"/>
    <w:rsid w:val="7DBB62A8"/>
    <w:rsid w:val="7F5732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1F1A1A"/>
      <w:u w:val="none"/>
    </w:rPr>
  </w:style>
  <w:style w:type="character" w:styleId="11">
    <w:name w:val="Emphasis"/>
    <w:basedOn w:val="7"/>
    <w:qFormat/>
    <w:uiPriority w:val="0"/>
  </w:style>
  <w:style w:type="character" w:styleId="12">
    <w:name w:val="HTML Definition"/>
    <w:basedOn w:val="7"/>
    <w:qFormat/>
    <w:uiPriority w:val="0"/>
  </w:style>
  <w:style w:type="character" w:styleId="13">
    <w:name w:val="HTML Variable"/>
    <w:basedOn w:val="7"/>
    <w:qFormat/>
    <w:uiPriority w:val="0"/>
  </w:style>
  <w:style w:type="character" w:styleId="14">
    <w:name w:val="Hyperlink"/>
    <w:basedOn w:val="7"/>
    <w:qFormat/>
    <w:uiPriority w:val="0"/>
    <w:rPr>
      <w:color w:val="1F1A1A"/>
      <w:u w:val="none"/>
    </w:rPr>
  </w:style>
  <w:style w:type="character" w:styleId="15">
    <w:name w:val="HTML Code"/>
    <w:basedOn w:val="7"/>
    <w:qFormat/>
    <w:uiPriority w:val="0"/>
    <w:rPr>
      <w:rFonts w:ascii="Courier New" w:hAnsi="Courier New"/>
      <w:sz w:val="20"/>
    </w:rPr>
  </w:style>
  <w:style w:type="character" w:styleId="16">
    <w:name w:val="HTML Cite"/>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2020-11-11T03:04:00Z</dcterms:created>
  <dc:creator>工作号1412241799</dc:creator>
  <cp:lastModifiedBy>微笑</cp:lastModifiedBy>
  <cp:lastPrinted>2020-12-08T03:36:00Z</cp:lastPrinted>
  <dcterms:modified xsi:type="dcterms:W3CDTF">2020-12-08T09:25:55Z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